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10"/>
        <w:gridCol w:w="4077"/>
      </w:tblGrid>
      <w:tr w:rsidR="00EF7A94" w:rsidRPr="00171039" w:rsidTr="00EF7A94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EFC0FC7" wp14:editId="76F5F34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548398AE" wp14:editId="57851E9B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963356" w:rsidRDefault="00963356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6335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963356">
              <w:rPr>
                <w:rFonts w:ascii="Times New Roman" w:hAnsi="Times New Roman" w:cs="Times New Roman"/>
                <w:iCs/>
              </w:rPr>
              <w:t>02. ožujka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naručitelja Zagrebački holding d.o.o., Ulica grada Vukovara 41, Zagreb a nastavno na Nacrt Dokumentacije o nabavi za predmet nabave </w:t>
            </w:r>
            <w:r w:rsidRPr="00EF7A94">
              <w:rPr>
                <w:rFonts w:ascii="Times New Roman" w:hAnsi="Times New Roman" w:cs="Times New Roman"/>
                <w:b/>
              </w:rPr>
              <w:t>Kante i posude za otpad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Pr="00EF7A94">
              <w:rPr>
                <w:rFonts w:ascii="Times New Roman" w:hAnsi="Times New Roman" w:cs="Times New Roman"/>
                <w:b/>
              </w:rPr>
              <w:t>2017-1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171039" w:rsidRPr="00171039" w:rsidTr="00FB0D8F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  <w:bookmarkStart w:id="1" w:name="_GoBack"/>
            <w:bookmarkEnd w:id="1"/>
          </w:p>
        </w:tc>
      </w:tr>
      <w:tr w:rsidR="00963356" w:rsidRPr="00171039" w:rsidTr="00FB0D8F">
        <w:trPr>
          <w:trHeight w:val="7995"/>
        </w:trPr>
        <w:tc>
          <w:tcPr>
            <w:tcW w:w="705" w:type="dxa"/>
            <w:vMerge w:val="restart"/>
            <w:noWrap/>
            <w:hideMark/>
          </w:tcPr>
          <w:p w:rsidR="00963356" w:rsidRPr="00171039" w:rsidRDefault="00963356" w:rsidP="00171039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6" w:type="dxa"/>
            <w:gridSpan w:val="2"/>
            <w:vMerge w:val="restart"/>
            <w:hideMark/>
          </w:tcPr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1.      U Troškovnicima za grupe 1., 2., 3., 4. i 5. </w:t>
            </w:r>
            <w:proofErr w:type="spellStart"/>
            <w:r w:rsidRPr="00171039">
              <w:rPr>
                <w:rFonts w:ascii="Times New Roman" w:hAnsi="Times New Roman" w:cs="Times New Roman"/>
              </w:rPr>
              <w:t>zahtjevate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sljedeću tehničku specifikaciju predmeta nabave: 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</w:t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br w:type="page"/>
              <w:t xml:space="preserve">-ugrađen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otporan na tekućine iz radnog procesa kamiona (motorna ulja,  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 hidraulična ulja i sl.)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           </w:t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-rad na temperaturama od -25°C do + 50°C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           -ugrađen (zaliven) u spremnike na način da se niti na koji način ne može izvaditi ili uništiti 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Naime, u specifikaciji predmeta nabave niste naveli sljedeće tehničke specifikacije ugrađenog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te definiranjem dolje navedenih tehničkih specifikacija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ne bi trebali dodatno pojašnjavati specifikaciju tehničkih karakteristika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kada natječaj bude objavljen (na prijašnjim natječajima imali ste zahtjeve za pojašnjenjem dolje navedenih tehničkih specifikacija za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>):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Stoga Vas molim da u dokumentaciji za nadmetanje definirate sljedeće tehničke karakteristike:</w:t>
            </w:r>
            <w:r w:rsidRPr="00171039">
              <w:rPr>
                <w:rFonts w:ascii="Times New Roman" w:hAnsi="Times New Roman" w:cs="Times New Roman"/>
              </w:rPr>
              <w:br w:type="page"/>
              <w:t xml:space="preserve"> 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171039">
              <w:rPr>
                <w:rFonts w:ascii="Times New Roman" w:hAnsi="Times New Roman" w:cs="Times New Roman"/>
              </w:rPr>
              <w:t xml:space="preserve">Koja je frekvencija na kojem radi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171039">
              <w:rPr>
                <w:rFonts w:ascii="Times New Roman" w:hAnsi="Times New Roman" w:cs="Times New Roman"/>
              </w:rPr>
              <w:t xml:space="preserve"> Koji je protokol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transpondera</w:t>
            </w:r>
            <w:proofErr w:type="spellEnd"/>
            <w:r w:rsidRPr="00171039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171039">
              <w:rPr>
                <w:rFonts w:ascii="Times New Roman" w:hAnsi="Times New Roman" w:cs="Times New Roman"/>
              </w:rPr>
              <w:t xml:space="preserve">Koji je kapacitet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transpondera</w:t>
            </w:r>
            <w:proofErr w:type="spellEnd"/>
            <w:r w:rsidRPr="00171039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 xml:space="preserve">Da li 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služi samo za čitanje ili za čitanje i pisanje,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lastRenderedPageBreak/>
              <w:t xml:space="preserve">e) Da li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mora odgovarati sljedećim standardnima EN 30745, EN 14803 ili ne,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 xml:space="preserve">Koji  je tip ili vrsta zavojnice u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transponderu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i</w:t>
            </w:r>
          </w:p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 xml:space="preserve">g) </w:t>
            </w:r>
            <w:r w:rsidRPr="00171039">
              <w:rPr>
                <w:rFonts w:ascii="Times New Roman" w:hAnsi="Times New Roman" w:cs="Times New Roman"/>
              </w:rPr>
              <w:t xml:space="preserve">Nadalje RFID </w:t>
            </w:r>
            <w:proofErr w:type="spellStart"/>
            <w:r w:rsidRPr="00171039">
              <w:rPr>
                <w:rFonts w:ascii="Times New Roman" w:hAnsi="Times New Roman" w:cs="Times New Roman"/>
              </w:rPr>
              <w:t>transponder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se ugrađuje u spremnike te isti nije zaliven te Vas molimo izmjenu tehničke specifikacije za Grupu 1., 2., 3., 4. 5. i molimo Vas da navedenu tehničku specifikaciju „zaliven“ izbacite iz tehničke specifikacije predmeta nabave.</w:t>
            </w:r>
            <w:r w:rsidRPr="00171039">
              <w:rPr>
                <w:rFonts w:ascii="Times New Roman" w:hAnsi="Times New Roman" w:cs="Times New Roman"/>
              </w:rPr>
              <w:br w:type="page"/>
            </w:r>
          </w:p>
          <w:p w:rsidR="00963356" w:rsidRPr="00171039" w:rsidRDefault="00963356" w:rsidP="00FB0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 w:val="restart"/>
            <w:noWrap/>
            <w:hideMark/>
          </w:tcPr>
          <w:p w:rsidR="00963356" w:rsidRPr="00DF2D22" w:rsidRDefault="00963356" w:rsidP="00963356">
            <w:pPr>
              <w:pStyle w:val="StandardWeb"/>
              <w:ind w:left="720" w:hanging="360"/>
              <w:rPr>
                <w:color w:val="000000" w:themeColor="text1"/>
              </w:rPr>
            </w:pPr>
            <w:r w:rsidRPr="00DF2D22">
              <w:rPr>
                <w:color w:val="000000" w:themeColor="text1"/>
              </w:rPr>
              <w:lastRenderedPageBreak/>
              <w:t> </w:t>
            </w:r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  <w:sz w:val="22"/>
                <w:szCs w:val="22"/>
              </w:rPr>
            </w:pPr>
            <w:r w:rsidRPr="00DF2D22">
              <w:rPr>
                <w:color w:val="000000" w:themeColor="text1"/>
              </w:rPr>
              <w:t>a</w:t>
            </w:r>
            <w:r w:rsidRPr="00DF2D22">
              <w:rPr>
                <w:color w:val="000000" w:themeColor="text1"/>
                <w:sz w:val="22"/>
                <w:szCs w:val="22"/>
              </w:rPr>
              <w:t xml:space="preserve">)Frekvencija na kojem radi RFID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transponder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 xml:space="preserve">: 134,2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kHz</w:t>
            </w:r>
            <w:proofErr w:type="spellEnd"/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  <w:sz w:val="22"/>
                <w:szCs w:val="22"/>
              </w:rPr>
            </w:pPr>
            <w:r w:rsidRPr="00DF2D22">
              <w:rPr>
                <w:color w:val="000000" w:themeColor="text1"/>
                <w:sz w:val="22"/>
                <w:szCs w:val="22"/>
              </w:rPr>
              <w:t xml:space="preserve">b)Protokol RFID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transpondera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>: HDX (Half-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duplex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 xml:space="preserve">),  </w:t>
            </w:r>
            <w:r w:rsidRPr="00DF2D22">
              <w:rPr>
                <w:rStyle w:val="xhighlight"/>
                <w:color w:val="000000" w:themeColor="text1"/>
                <w:sz w:val="22"/>
                <w:szCs w:val="22"/>
              </w:rPr>
              <w:t>i</w:t>
            </w:r>
            <w:r w:rsidRPr="00DF2D22">
              <w:rPr>
                <w:color w:val="000000" w:themeColor="text1"/>
                <w:sz w:val="22"/>
                <w:szCs w:val="22"/>
              </w:rPr>
              <w:t>dentifikacijski sustav TIRIS</w:t>
            </w:r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  <w:sz w:val="22"/>
                <w:szCs w:val="22"/>
              </w:rPr>
            </w:pPr>
            <w:r w:rsidRPr="00DF2D22">
              <w:rPr>
                <w:color w:val="000000" w:themeColor="text1"/>
                <w:sz w:val="22"/>
                <w:szCs w:val="22"/>
              </w:rPr>
              <w:t xml:space="preserve">c)Kapacitet RFID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transpondera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>: 64 bit minimalno</w:t>
            </w:r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  <w:sz w:val="22"/>
                <w:szCs w:val="22"/>
              </w:rPr>
            </w:pPr>
            <w:r w:rsidRPr="00DF2D22">
              <w:rPr>
                <w:color w:val="000000" w:themeColor="text1"/>
                <w:sz w:val="22"/>
                <w:szCs w:val="22"/>
              </w:rPr>
              <w:t xml:space="preserve">d)RFID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transponder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 xml:space="preserve"> služi samo za čitanje (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Read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2D22">
              <w:rPr>
                <w:color w:val="000000" w:themeColor="text1"/>
                <w:sz w:val="22"/>
                <w:szCs w:val="22"/>
              </w:rPr>
              <w:t>only</w:t>
            </w:r>
            <w:proofErr w:type="spellEnd"/>
            <w:r w:rsidRPr="00DF2D22">
              <w:rPr>
                <w:color w:val="000000" w:themeColor="text1"/>
                <w:sz w:val="22"/>
                <w:szCs w:val="22"/>
              </w:rPr>
              <w:t>)</w:t>
            </w:r>
          </w:p>
          <w:p w:rsidR="00963356" w:rsidRPr="00DF2D22" w:rsidRDefault="00963356" w:rsidP="008D5397">
            <w:pPr>
              <w:pStyle w:val="StandardWeb"/>
              <w:rPr>
                <w:bCs/>
                <w:color w:val="000000" w:themeColor="text1"/>
              </w:rPr>
            </w:pPr>
            <w:r w:rsidRPr="00DF2D22">
              <w:rPr>
                <w:color w:val="000000" w:themeColor="text1"/>
                <w:sz w:val="22"/>
                <w:szCs w:val="22"/>
              </w:rPr>
              <w:t>e)</w:t>
            </w:r>
            <w:r w:rsidRPr="00DF2D2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F2D22">
              <w:rPr>
                <w:bCs/>
                <w:color w:val="000000" w:themeColor="text1"/>
              </w:rPr>
              <w:t xml:space="preserve">Ne, ako nije zaliven mora biti dimenzije M30 x 14 </w:t>
            </w:r>
          </w:p>
          <w:p w:rsidR="00963356" w:rsidRPr="00DF2D22" w:rsidRDefault="00963356" w:rsidP="008D5397">
            <w:pPr>
              <w:pStyle w:val="StandardWeb"/>
              <w:rPr>
                <w:bCs/>
                <w:color w:val="000000" w:themeColor="text1"/>
              </w:rPr>
            </w:pPr>
            <w:r w:rsidRPr="00DF2D22">
              <w:rPr>
                <w:bCs/>
                <w:color w:val="000000" w:themeColor="text1"/>
              </w:rPr>
              <w:t>f)</w:t>
            </w:r>
            <w:r w:rsidRPr="00DF2D2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F2D22">
              <w:rPr>
                <w:bCs/>
                <w:color w:val="000000" w:themeColor="text1"/>
              </w:rPr>
              <w:t>Ne uvjetujemo tip</w:t>
            </w:r>
          </w:p>
          <w:p w:rsidR="00963356" w:rsidRPr="00DF2D22" w:rsidRDefault="00963356" w:rsidP="008D5397">
            <w:pPr>
              <w:pStyle w:val="StandardWeb"/>
              <w:rPr>
                <w:bCs/>
                <w:color w:val="000000" w:themeColor="text1"/>
              </w:rPr>
            </w:pPr>
            <w:r w:rsidRPr="00DF2D22">
              <w:rPr>
                <w:bCs/>
                <w:color w:val="000000" w:themeColor="text1"/>
              </w:rPr>
              <w:t>g)</w:t>
            </w:r>
            <w:r w:rsidRPr="00DF2D2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F2D22">
              <w:rPr>
                <w:bCs/>
                <w:color w:val="000000" w:themeColor="text1"/>
              </w:rPr>
              <w:t>Mijenja se tehnička specifikacija, te se miče „zaliven“</w:t>
            </w:r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</w:rPr>
            </w:pPr>
          </w:p>
          <w:p w:rsidR="00963356" w:rsidRPr="00DF2D22" w:rsidRDefault="00963356" w:rsidP="008D5397">
            <w:pPr>
              <w:pStyle w:val="StandardWeb"/>
              <w:rPr>
                <w:color w:val="000000" w:themeColor="text1"/>
                <w:sz w:val="22"/>
                <w:szCs w:val="22"/>
              </w:rPr>
            </w:pPr>
          </w:p>
          <w:p w:rsidR="00963356" w:rsidRPr="00DF2D22" w:rsidRDefault="00963356" w:rsidP="008D53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D22">
              <w:rPr>
                <w:rFonts w:ascii="Times New Roman" w:hAnsi="Times New Roman" w:cs="Times New Roman"/>
                <w:color w:val="000000" w:themeColor="text1"/>
              </w:rPr>
              <w:t>-mijenja se tehnička specifikacije za svih 5 grupa</w:t>
            </w:r>
          </w:p>
        </w:tc>
      </w:tr>
      <w:tr w:rsidR="00963356" w:rsidRPr="00171039" w:rsidTr="00FB0D8F">
        <w:trPr>
          <w:trHeight w:val="1800"/>
        </w:trPr>
        <w:tc>
          <w:tcPr>
            <w:tcW w:w="705" w:type="dxa"/>
            <w:vMerge/>
            <w:hideMark/>
          </w:tcPr>
          <w:p w:rsidR="00963356" w:rsidRPr="00171039" w:rsidRDefault="0096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2"/>
            <w:vMerge/>
            <w:hideMark/>
          </w:tcPr>
          <w:p w:rsidR="00963356" w:rsidRPr="00171039" w:rsidRDefault="0096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963356" w:rsidRPr="00171039" w:rsidRDefault="00963356">
            <w:pPr>
              <w:rPr>
                <w:rFonts w:ascii="Times New Roman" w:hAnsi="Times New Roman" w:cs="Times New Roman"/>
              </w:rPr>
            </w:pPr>
          </w:p>
        </w:tc>
      </w:tr>
      <w:tr w:rsidR="00963356" w:rsidRPr="00171039" w:rsidTr="00FB0D8F">
        <w:trPr>
          <w:trHeight w:val="2010"/>
        </w:trPr>
        <w:tc>
          <w:tcPr>
            <w:tcW w:w="705" w:type="dxa"/>
            <w:noWrap/>
            <w:hideMark/>
          </w:tcPr>
          <w:p w:rsidR="00963356" w:rsidRPr="00171039" w:rsidRDefault="00963356" w:rsidP="00171039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06" w:type="dxa"/>
            <w:gridSpan w:val="2"/>
            <w:hideMark/>
          </w:tcPr>
          <w:p w:rsidR="00963356" w:rsidRDefault="00963356">
            <w:pPr>
              <w:rPr>
                <w:rFonts w:ascii="Times New Roman" w:hAnsi="Times New Roman" w:cs="Times New Roman"/>
              </w:rPr>
            </w:pPr>
          </w:p>
          <w:p w:rsidR="00963356" w:rsidRPr="00171039" w:rsidRDefault="00963356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U grupama 1., 2., 3., 4. i 5. </w:t>
            </w:r>
            <w:proofErr w:type="spellStart"/>
            <w:r w:rsidRPr="00171039">
              <w:rPr>
                <w:rFonts w:ascii="Times New Roman" w:hAnsi="Times New Roman" w:cs="Times New Roman"/>
              </w:rPr>
              <w:t>zahtjevate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da je materijal od kojeg trebaju biti izrađene posude plastika ili </w:t>
            </w:r>
            <w:proofErr w:type="spellStart"/>
            <w:r w:rsidRPr="00171039">
              <w:rPr>
                <w:rFonts w:ascii="Times New Roman" w:hAnsi="Times New Roman" w:cs="Times New Roman"/>
              </w:rPr>
              <w:t>reciklabilna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plastika. Naime, kante koje se izrađuju u skladu sa normama HRN EN 840-1:2013, HRN EN 840-5:2013, HRN EN 840-6:2013 moraju biti izrađene od HDPE-a (</w:t>
            </w:r>
            <w:proofErr w:type="spellStart"/>
            <w:r w:rsidRPr="00171039">
              <w:rPr>
                <w:rFonts w:ascii="Times New Roman" w:hAnsi="Times New Roman" w:cs="Times New Roman"/>
              </w:rPr>
              <w:t>polietilen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visoke gustoće) te Vas molimo da u specifikaciji predmeta nabave definirate materijal od kojeg kanta mora biti napravljena. </w:t>
            </w:r>
          </w:p>
        </w:tc>
        <w:tc>
          <w:tcPr>
            <w:tcW w:w="4077" w:type="dxa"/>
            <w:noWrap/>
            <w:hideMark/>
          </w:tcPr>
          <w:p w:rsidR="00963356" w:rsidRDefault="00963356" w:rsidP="008D5397">
            <w:pPr>
              <w:rPr>
                <w:rFonts w:ascii="Times New Roman" w:hAnsi="Times New Roman" w:cs="Times New Roman"/>
              </w:rPr>
            </w:pPr>
            <w:r w:rsidRPr="00DF2D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mijenja se tehnička specifikacija</w:t>
            </w:r>
          </w:p>
          <w:p w:rsidR="00963356" w:rsidRPr="00171039" w:rsidRDefault="00963356" w:rsidP="008D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-„</w:t>
            </w:r>
            <w:r w:rsidRPr="0074515D">
              <w:rPr>
                <w:rFonts w:ascii="Times New Roman" w:hAnsi="Times New Roman" w:cs="Times New Roman"/>
                <w:i/>
              </w:rPr>
              <w:t>materijal od kojeg treba biti izrađena posuda za otpad je HDPE (</w:t>
            </w:r>
            <w:proofErr w:type="spellStart"/>
            <w:r w:rsidRPr="0074515D">
              <w:rPr>
                <w:rFonts w:ascii="Times New Roman" w:hAnsi="Times New Roman" w:cs="Times New Roman"/>
                <w:i/>
              </w:rPr>
              <w:t>polietilen</w:t>
            </w:r>
            <w:proofErr w:type="spellEnd"/>
            <w:r w:rsidRPr="0074515D">
              <w:rPr>
                <w:rFonts w:ascii="Times New Roman" w:hAnsi="Times New Roman" w:cs="Times New Roman"/>
                <w:i/>
              </w:rPr>
              <w:t xml:space="preserve"> visoke gustoće)“</w:t>
            </w:r>
          </w:p>
        </w:tc>
      </w:tr>
      <w:tr w:rsidR="00963356" w:rsidRPr="00171039" w:rsidTr="00FB0D8F">
        <w:trPr>
          <w:trHeight w:val="8190"/>
        </w:trPr>
        <w:tc>
          <w:tcPr>
            <w:tcW w:w="705" w:type="dxa"/>
            <w:noWrap/>
            <w:hideMark/>
          </w:tcPr>
          <w:p w:rsidR="00963356" w:rsidRPr="00171039" w:rsidRDefault="00963356" w:rsidP="00171039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6" w:type="dxa"/>
            <w:gridSpan w:val="2"/>
            <w:hideMark/>
          </w:tcPr>
          <w:p w:rsidR="00963356" w:rsidRDefault="00963356">
            <w:pPr>
              <w:rPr>
                <w:rFonts w:ascii="Times New Roman" w:hAnsi="Times New Roman" w:cs="Times New Roman"/>
              </w:rPr>
            </w:pP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Pr="00FB0D8F">
              <w:rPr>
                <w:rFonts w:ascii="Times New Roman" w:hAnsi="Times New Roman" w:cs="Times New Roman"/>
              </w:rPr>
              <w:t xml:space="preserve">Vezano za točku 15.3. Tehnička i stručna sposobnost molimo Vas da u dokumentaciji za nadmetanje </w:t>
            </w:r>
            <w:proofErr w:type="spellStart"/>
            <w:r w:rsidRPr="00FB0D8F">
              <w:rPr>
                <w:rFonts w:ascii="Times New Roman" w:hAnsi="Times New Roman" w:cs="Times New Roman"/>
              </w:rPr>
              <w:t>zahtjevate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sljedeći dokaz tehničke sposobnosti: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>Certifikat izdan od akreditiranog europskog instituta za testiranje kante 80, 120 i 240 l u skladu sa sljedećim normama (ili jednakovrijedan dokaz):  HRN EN 840-1:2013, HRN EN 840-5:2013, HRN EN 840-6:2013 (ili jednakovrijedne norme).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>Vezano za navedeni dokaz šaljem Vam sljedeće pojašnjenje: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>a)      Standardizacija u sustavu prikupljanja otpada: Kante proizveden u skladu s EN 840-1/5/6 normama osiguravaju kompatibilnost sa svim vozilima za prikupljanje otpada proizvedenih u skladu s EN 1051 normom. To dovodi do veće kvalitete proizvoda i veću sigurnost radnika prilikom pražnjenja kanti u vozila za sakupljanje otpada i prolaznika koji prolaze pored vozila koji je u procesu pražnjenja kante.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>b)      Vanjska kontrola i testiranje od strane akreditiranog europskog instituta za testiranje kanti osigurava neovisno, samostalno i pouzdano testiranje proizvoda.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c)      Razlog zašto tražiti certifikat izdan od akreditiranog europskog instituta:  U interesu  je </w:t>
            </w:r>
            <w:r w:rsidRPr="00FB0D8F">
              <w:rPr>
                <w:rFonts w:ascii="Times New Roman" w:hAnsi="Times New Roman" w:cs="Times New Roman"/>
              </w:rPr>
              <w:lastRenderedPageBreak/>
              <w:t xml:space="preserve">ovlaštenih akreditacijskih institucija da ispune svoje testove ispravno i da proizvod testiraju u skladu sa zahtjevima koje propisuje određena </w:t>
            </w:r>
            <w:proofErr w:type="spellStart"/>
            <w:r w:rsidRPr="00FB0D8F">
              <w:rPr>
                <w:rFonts w:ascii="Times New Roman" w:hAnsi="Times New Roman" w:cs="Times New Roman"/>
              </w:rPr>
              <w:t>norma.Ovlaštene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akreditacijske institucije, ukoliko testiranje proizvoda ne naprave u skladu sa zahtjevima iz normi te takav proizvod potvrde u skladu sa važećom normom  a u biti navedeni proizvod ne </w:t>
            </w:r>
            <w:proofErr w:type="spellStart"/>
            <w:r w:rsidRPr="00FB0D8F">
              <w:rPr>
                <w:rFonts w:ascii="Times New Roman" w:hAnsi="Times New Roman" w:cs="Times New Roman"/>
              </w:rPr>
              <w:t>udovojava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kriterijima iz navedene norme, gube akreditaciju i kredibilitet . Iz navedenog razloga ovlaštenim akreditacijskim institucijama bitno je da navedeni proizvod testiraju u skladu sa navedenim normama te odgovaraju za certifikat koji su izdali za navedeni proizvod. Dakle, ovlašteni ispitni instituti su pouzdani i imaju dubok interes u održavanju akreditacije valjanom.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Na tržištu postoje institucije koje nisu akreditirane i ovlaštene od strane Europskog akreditacijskog tijela za </w:t>
            </w:r>
            <w:proofErr w:type="spellStart"/>
            <w:r w:rsidRPr="00FB0D8F">
              <w:rPr>
                <w:rFonts w:ascii="Times New Roman" w:hAnsi="Times New Roman" w:cs="Times New Roman"/>
              </w:rPr>
              <w:t>testitranje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i ispitivanje kanti u skladu sa normama EN 840-1/5/6 te su </w:t>
            </w:r>
            <w:proofErr w:type="spellStart"/>
            <w:r w:rsidRPr="00FB0D8F">
              <w:rPr>
                <w:rFonts w:ascii="Times New Roman" w:hAnsi="Times New Roman" w:cs="Times New Roman"/>
              </w:rPr>
              <w:t>navedne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institucije samo potvrdile da određeni proizvođači proizvode kante u sukladnosti s navedenim normama bez da su testirali kriterije koje navedene norme EN 840-1/5/6 propisuju. Nadalje neakreditirano ispitni instituti jednostavno nemaju posebne strojeve za ispitivanje i pravilno testiranje proizvoda u skladu sa navedenim normama i u ostalim slučajevima unutarnja usklađenost i procesi u navedenim institucijama ne osiguraju ispravno ispunjavanje testova.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Proizvođači kanti slabije kvalitete znaju za navedene okolnosti i preferiraju naručivanje slabih testova od strane institucija koji nemaju akreditaciju od strane Europskog akreditacijskog tijela kako bi dobili pozitivan test certifikacije za kante slabije kvalitete.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 </w:t>
            </w:r>
          </w:p>
          <w:p w:rsidR="00963356" w:rsidRPr="00FB0D8F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Kako bi akreditirani </w:t>
            </w:r>
            <w:proofErr w:type="spellStart"/>
            <w:r w:rsidRPr="00FB0D8F">
              <w:rPr>
                <w:rFonts w:ascii="Times New Roman" w:hAnsi="Times New Roman" w:cs="Times New Roman"/>
              </w:rPr>
              <w:t>instutut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bio akreditiran  mora biti opremljen sa opremom i osobljem u skladu sa DIN EN ISO / IEC 17025 normom za testiranje određenog proizvoda, u ovom slučaju za kante u skladu sa normom  EN 840-1/5/6.</w:t>
            </w:r>
          </w:p>
          <w:p w:rsidR="00963356" w:rsidRPr="00171039" w:rsidRDefault="00963356" w:rsidP="00FB0D8F">
            <w:pPr>
              <w:rPr>
                <w:rFonts w:ascii="Times New Roman" w:hAnsi="Times New Roman" w:cs="Times New Roman"/>
              </w:rPr>
            </w:pPr>
            <w:r w:rsidRPr="00FB0D8F">
              <w:rPr>
                <w:rFonts w:ascii="Times New Roman" w:hAnsi="Times New Roman" w:cs="Times New Roman"/>
              </w:rPr>
              <w:t xml:space="preserve">Ovlaštenim ispitnim institutima važno je da ispune svoje testove ispravno te ukoliko test na proizvodu ne naprave u skladu sa zahtjevima iz norme gube akreditacije u slučaju da se dokaže da proizvod za koji su izdali </w:t>
            </w:r>
            <w:proofErr w:type="spellStart"/>
            <w:r w:rsidRPr="00FB0D8F">
              <w:rPr>
                <w:rFonts w:ascii="Times New Roman" w:hAnsi="Times New Roman" w:cs="Times New Roman"/>
              </w:rPr>
              <w:t>certifika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nije </w:t>
            </w:r>
            <w:proofErr w:type="spellStart"/>
            <w:r w:rsidRPr="00FB0D8F">
              <w:rPr>
                <w:rFonts w:ascii="Times New Roman" w:hAnsi="Times New Roman" w:cs="Times New Roman"/>
              </w:rPr>
              <w:t>usklađenen</w:t>
            </w:r>
            <w:proofErr w:type="spellEnd"/>
            <w:r w:rsidRPr="00FB0D8F">
              <w:rPr>
                <w:rFonts w:ascii="Times New Roman" w:hAnsi="Times New Roman" w:cs="Times New Roman"/>
              </w:rPr>
              <w:t xml:space="preserve"> sa navedenom normom. Dakle, ovlašteni ispitni instituti su pouzdani i imaju dubok interes u održavanju akreditacije valjanom.</w:t>
            </w:r>
          </w:p>
        </w:tc>
        <w:tc>
          <w:tcPr>
            <w:tcW w:w="4077" w:type="dxa"/>
            <w:noWrap/>
            <w:hideMark/>
          </w:tcPr>
          <w:p w:rsidR="00963356" w:rsidRDefault="00963356" w:rsidP="008D5397">
            <w:pPr>
              <w:rPr>
                <w:rFonts w:ascii="Times New Roman" w:hAnsi="Times New Roman" w:cs="Times New Roman"/>
              </w:rPr>
            </w:pPr>
          </w:p>
          <w:p w:rsidR="00963356" w:rsidRPr="00344617" w:rsidRDefault="00963356" w:rsidP="008D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Smatramo</w:t>
            </w:r>
            <w:r w:rsidRPr="00344617">
              <w:rPr>
                <w:rFonts w:ascii="Times New Roman" w:hAnsi="Times New Roman" w:cs="Times New Roman"/>
              </w:rPr>
              <w:t xml:space="preserve"> da su postojeći dokazi sposobnosti sasvim dovoljni uz tehnički opis predmeta nabave i da bi uvođenje dodatnih dokaza samo pooštrilo kriterije za dokazivanje sposobnosti uz nikaka</w:t>
            </w:r>
            <w:r>
              <w:rPr>
                <w:rFonts w:ascii="Times New Roman" w:hAnsi="Times New Roman" w:cs="Times New Roman"/>
              </w:rPr>
              <w:t xml:space="preserve">v odraz na kvalitetu proizvoda te </w:t>
            </w:r>
            <w:r w:rsidRPr="00344617">
              <w:rPr>
                <w:rFonts w:ascii="Times New Roman" w:hAnsi="Times New Roman" w:cs="Times New Roman"/>
              </w:rPr>
              <w:t xml:space="preserve">nema potrebe da pristanemo na prijedlog </w:t>
            </w:r>
            <w:r>
              <w:rPr>
                <w:rFonts w:ascii="Times New Roman" w:hAnsi="Times New Roman" w:cs="Times New Roman"/>
              </w:rPr>
              <w:t>gospodarskog subjekta</w:t>
            </w:r>
            <w:r w:rsidRPr="00344617">
              <w:rPr>
                <w:rFonts w:ascii="Times New Roman" w:hAnsi="Times New Roman" w:cs="Times New Roman"/>
              </w:rPr>
              <w:t xml:space="preserve"> za uvođenjem dodatnih i strožih kriterija za dokazivanje sposobnosti i možemo ostati pri svojim traženjima.</w:t>
            </w:r>
          </w:p>
          <w:p w:rsidR="00963356" w:rsidRPr="00171039" w:rsidRDefault="00963356" w:rsidP="008D5397">
            <w:pPr>
              <w:rPr>
                <w:rFonts w:ascii="Times New Roman" w:hAnsi="Times New Roman" w:cs="Times New Roman"/>
              </w:rPr>
            </w:pPr>
          </w:p>
        </w:tc>
      </w:tr>
    </w:tbl>
    <w:p w:rsidR="00370170" w:rsidRPr="00171039" w:rsidRDefault="00370170" w:rsidP="00963356">
      <w:pPr>
        <w:rPr>
          <w:rFonts w:ascii="Times New Roman" w:hAnsi="Times New Roman" w:cs="Times New Roman"/>
        </w:rPr>
      </w:pPr>
      <w:r w:rsidRPr="00370170">
        <w:rPr>
          <w:rFonts w:ascii="Times New Roman" w:hAnsi="Times New Roman" w:cs="Times New Roman"/>
          <w:b/>
        </w:rPr>
        <w:lastRenderedPageBreak/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516340"/>
    <w:rsid w:val="00963356"/>
    <w:rsid w:val="00BB5B97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6335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highlight">
    <w:name w:val="x_highlight"/>
    <w:basedOn w:val="Zadanifontodlomka"/>
    <w:rsid w:val="0096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6335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highlight">
    <w:name w:val="x_highlight"/>
    <w:basedOn w:val="Zadanifontodlomka"/>
    <w:rsid w:val="0096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6</cp:revision>
  <dcterms:created xsi:type="dcterms:W3CDTF">2017-02-09T08:05:00Z</dcterms:created>
  <dcterms:modified xsi:type="dcterms:W3CDTF">2017-03-02T13:12:00Z</dcterms:modified>
</cp:coreProperties>
</file>